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6E1E" w:rsidRPr="00EA23E7" w:rsidRDefault="001A6E1E" w:rsidP="001A6E1E">
      <w:pPr>
        <w:tabs>
          <w:tab w:val="center" w:pos="4536"/>
          <w:tab w:val="right" w:pos="9072"/>
        </w:tabs>
        <w:jc w:val="right"/>
        <w:rPr>
          <w:rFonts w:ascii="Arial Narrow" w:eastAsia="Calibri" w:hAnsi="Arial Narrow"/>
          <w:i/>
          <w:iCs/>
          <w:sz w:val="18"/>
          <w:szCs w:val="18"/>
          <w:lang w:eastAsia="en-US"/>
        </w:rPr>
      </w:pPr>
      <w:r w:rsidRPr="69B2A20A">
        <w:rPr>
          <w:rFonts w:ascii="Arial Narrow" w:eastAsia="Calibri" w:hAnsi="Arial Narrow"/>
          <w:i/>
          <w:iCs/>
          <w:sz w:val="18"/>
          <w:szCs w:val="18"/>
          <w:lang w:eastAsia="en-US"/>
        </w:rPr>
        <w:t>Załącznik nr 9.1.1</w:t>
      </w:r>
      <w:r w:rsidR="00B77D5F">
        <w:rPr>
          <w:rFonts w:ascii="Arial Narrow" w:eastAsia="Calibri" w:hAnsi="Arial Narrow"/>
          <w:i/>
          <w:iCs/>
          <w:sz w:val="18"/>
          <w:szCs w:val="18"/>
          <w:lang w:eastAsia="en-US"/>
        </w:rPr>
        <w:t>a</w:t>
      </w:r>
    </w:p>
    <w:p w:rsidR="001A6E1E" w:rsidRPr="00EA23E7" w:rsidRDefault="001A6E1E" w:rsidP="001A6E1E">
      <w:pPr>
        <w:tabs>
          <w:tab w:val="center" w:pos="4536"/>
          <w:tab w:val="right" w:pos="9072"/>
        </w:tabs>
        <w:jc w:val="right"/>
        <w:rPr>
          <w:rFonts w:ascii="Arial Narrow" w:eastAsia="Calibri" w:hAnsi="Arial Narrow"/>
          <w:i/>
          <w:iCs/>
          <w:sz w:val="18"/>
          <w:szCs w:val="18"/>
          <w:lang w:eastAsia="en-US"/>
        </w:rPr>
      </w:pPr>
      <w:r w:rsidRPr="00EA23E7">
        <w:rPr>
          <w:rFonts w:ascii="Arial Narrow" w:eastAsia="Calibri" w:hAnsi="Arial Narrow"/>
          <w:i/>
          <w:iCs/>
          <w:sz w:val="18"/>
          <w:szCs w:val="18"/>
          <w:lang w:eastAsia="en-US"/>
        </w:rPr>
        <w:t>Wzór - Słowniczek do Oświadczenia o przestrzeganiu zasady trwałości projektu</w:t>
      </w:r>
    </w:p>
    <w:p w:rsidR="001A6E1E" w:rsidRPr="00EA23E7" w:rsidRDefault="001A6E1E" w:rsidP="001A6E1E">
      <w:pPr>
        <w:spacing w:line="360" w:lineRule="auto"/>
        <w:jc w:val="both"/>
        <w:rPr>
          <w:rFonts w:ascii="Arial Narrow" w:eastAsia="Calibri" w:hAnsi="Arial Narrow"/>
          <w:b/>
        </w:rPr>
      </w:pPr>
    </w:p>
    <w:p w:rsidR="001A6E1E" w:rsidRPr="00EA23E7" w:rsidRDefault="001A6E1E" w:rsidP="001A6E1E">
      <w:pPr>
        <w:spacing w:after="200" w:line="276" w:lineRule="auto"/>
        <w:contextualSpacing/>
        <w:jc w:val="center"/>
        <w:rPr>
          <w:rFonts w:ascii="Arial Narrow" w:eastAsia="Calibri" w:hAnsi="Arial Narrow"/>
          <w:b/>
        </w:rPr>
      </w:pPr>
      <w:r w:rsidRPr="00EA23E7">
        <w:rPr>
          <w:rFonts w:ascii="Arial Narrow" w:eastAsia="Calibri" w:hAnsi="Arial Narrow"/>
          <w:b/>
        </w:rPr>
        <w:t>Słowniczek do Oświadczenia o przestrzeganiu zasady trwałości projektu.</w:t>
      </w:r>
    </w:p>
    <w:p w:rsidR="001A6E1E" w:rsidRPr="00EA23E7" w:rsidRDefault="001A6E1E" w:rsidP="001A6E1E">
      <w:pPr>
        <w:spacing w:after="200" w:line="276" w:lineRule="auto"/>
        <w:contextualSpacing/>
        <w:jc w:val="center"/>
        <w:rPr>
          <w:rFonts w:ascii="Arial Narrow" w:eastAsia="Calibri" w:hAnsi="Arial Narrow"/>
          <w:b/>
        </w:rPr>
      </w:pPr>
      <w:r w:rsidRPr="00EA23E7">
        <w:rPr>
          <w:rFonts w:ascii="Arial Narrow" w:eastAsia="Calibri" w:hAnsi="Arial Narrow"/>
          <w:b/>
        </w:rPr>
        <w:t>Perspektywa 2021-2027.</w:t>
      </w:r>
    </w:p>
    <w:p w:rsidR="001A6E1E" w:rsidRPr="00EA23E7" w:rsidRDefault="001A6E1E" w:rsidP="001A6E1E">
      <w:pPr>
        <w:spacing w:after="200" w:line="276" w:lineRule="auto"/>
        <w:contextualSpacing/>
        <w:jc w:val="both"/>
        <w:rPr>
          <w:rFonts w:ascii="Arial Narrow" w:eastAsia="Calibri" w:hAnsi="Arial Narrow"/>
          <w:b/>
        </w:rPr>
      </w:pPr>
    </w:p>
    <w:p w:rsidR="001A6E1E" w:rsidRPr="00EA23E7" w:rsidRDefault="001A6E1E" w:rsidP="001A6E1E">
      <w:pPr>
        <w:spacing w:after="200" w:line="276" w:lineRule="auto"/>
        <w:contextualSpacing/>
        <w:jc w:val="both"/>
        <w:rPr>
          <w:rFonts w:ascii="Arial Narrow" w:eastAsia="Calibri" w:hAnsi="Arial Narrow"/>
        </w:rPr>
      </w:pPr>
    </w:p>
    <w:p w:rsidR="001A6E1E" w:rsidRPr="00EA23E7" w:rsidRDefault="001A6E1E" w:rsidP="001A6E1E">
      <w:pPr>
        <w:spacing w:after="200" w:line="276" w:lineRule="auto"/>
        <w:contextualSpacing/>
        <w:jc w:val="both"/>
        <w:rPr>
          <w:rFonts w:ascii="Arial Narrow" w:eastAsia="Calibri" w:hAnsi="Arial Narrow"/>
          <w:u w:val="single"/>
        </w:rPr>
      </w:pPr>
      <w:r w:rsidRPr="00EA23E7">
        <w:rPr>
          <w:rFonts w:ascii="Arial Narrow" w:eastAsia="Calibri" w:hAnsi="Arial Narrow"/>
          <w:u w:val="single"/>
        </w:rPr>
        <w:t xml:space="preserve">Słowniczek jest dokumentem pomocniczym dla Beneficjenta przy wypełnianiu Załącznika nr ………. </w:t>
      </w:r>
      <w:r w:rsidRPr="00EA23E7">
        <w:rPr>
          <w:rFonts w:ascii="Arial Narrow" w:eastAsia="Calibri" w:hAnsi="Arial Narrow"/>
          <w:i/>
          <w:iCs/>
          <w:u w:val="single"/>
        </w:rPr>
        <w:t xml:space="preserve">Oświadczenie o przestrzeganiu zasady trwałości projektu zrealizowanego w ramach regionalnego programu </w:t>
      </w:r>
      <w:r w:rsidRPr="00EA23E7">
        <w:rPr>
          <w:rFonts w:ascii="Arial Narrow" w:eastAsia="Calibri" w:hAnsi="Arial Narrow"/>
          <w:i/>
          <w:iCs/>
          <w:u w:val="single"/>
          <w:lang w:eastAsia="en-US"/>
        </w:rPr>
        <w:t>Fundusze Europejskie dla Łódzkiego 2021 – 2027</w:t>
      </w:r>
      <w:r w:rsidRPr="00EA23E7">
        <w:rPr>
          <w:rFonts w:ascii="Arial Narrow" w:eastAsia="Calibri" w:hAnsi="Arial Narrow"/>
          <w:u w:val="single"/>
          <w:lang w:eastAsia="en-US"/>
        </w:rPr>
        <w:t xml:space="preserve">. </w:t>
      </w:r>
      <w:r w:rsidRPr="00EA23E7">
        <w:rPr>
          <w:rFonts w:ascii="Arial Narrow" w:eastAsia="Calibri" w:hAnsi="Arial Narrow"/>
          <w:u w:val="single"/>
        </w:rPr>
        <w:t>Zawiera definicje najważniejszych pojęć i terminów pojawiających się Oświadczeniu. Należy się z nim obligatoryjnie zapoznać w celu prawidłowego wypełnienia Oświadczenia</w:t>
      </w:r>
      <w:r w:rsidRPr="00EA23E7">
        <w:rPr>
          <w:rFonts w:ascii="Arial Narrow" w:eastAsia="Calibri" w:hAnsi="Arial Narrow"/>
          <w:i/>
          <w:iCs/>
          <w:u w:val="single"/>
        </w:rPr>
        <w:t>.</w:t>
      </w:r>
      <w:r w:rsidRPr="00EA23E7">
        <w:rPr>
          <w:rFonts w:ascii="Arial Narrow" w:hAnsi="Arial Narrow"/>
          <w:u w:val="single"/>
        </w:rPr>
        <w:t xml:space="preserve"> </w:t>
      </w:r>
    </w:p>
    <w:p w:rsidR="001A6E1E" w:rsidRPr="00EA23E7" w:rsidRDefault="001A6E1E" w:rsidP="001A6E1E">
      <w:pPr>
        <w:spacing w:after="200" w:line="276" w:lineRule="auto"/>
        <w:contextualSpacing/>
        <w:jc w:val="both"/>
        <w:rPr>
          <w:rFonts w:ascii="Arial Narrow" w:eastAsia="Calibri" w:hAnsi="Arial Narrow"/>
          <w:b/>
        </w:rPr>
      </w:pPr>
    </w:p>
    <w:p w:rsidR="001A6E1E" w:rsidRPr="00EA23E7" w:rsidRDefault="001A6E1E" w:rsidP="001A6E1E">
      <w:pPr>
        <w:spacing w:after="200" w:line="276" w:lineRule="auto"/>
        <w:contextualSpacing/>
        <w:jc w:val="both"/>
        <w:rPr>
          <w:rFonts w:ascii="Arial Narrow" w:eastAsia="Calibri" w:hAnsi="Arial Narrow"/>
        </w:rPr>
      </w:pPr>
      <w:r w:rsidRPr="00EA23E7">
        <w:rPr>
          <w:rFonts w:ascii="Arial Narrow" w:eastAsia="Calibri" w:hAnsi="Arial Narrow"/>
          <w:b/>
        </w:rPr>
        <w:t>Bieżący okres sprawozdawczy</w:t>
      </w:r>
      <w:r w:rsidRPr="00EA23E7">
        <w:rPr>
          <w:rFonts w:ascii="Arial Narrow" w:eastAsia="Calibri" w:hAnsi="Arial Narrow"/>
        </w:rPr>
        <w:t xml:space="preserve"> – okres, za który prezentowane są dane w oświadczeniu. Początkową datą okresu sprawozdawczego jest data otrzymania płatności końcowej/data zatwierdzenia wniosku </w:t>
      </w:r>
      <w:r w:rsidRPr="00EA23E7">
        <w:rPr>
          <w:rFonts w:ascii="Arial Narrow" w:eastAsia="Calibri" w:hAnsi="Arial Narrow"/>
        </w:rPr>
        <w:br/>
        <w:t xml:space="preserve">o płatność końcową (w przypadku braku płatności końcowej) lub data kończąca okres sprawozdawczy </w:t>
      </w:r>
      <w:r w:rsidRPr="00EA23E7">
        <w:rPr>
          <w:rFonts w:ascii="Arial Narrow" w:eastAsia="Calibri" w:hAnsi="Arial Narrow"/>
        </w:rPr>
        <w:br/>
        <w:t>z ostatniego oświadczenia. Datą kończącą</w:t>
      </w:r>
      <w:r w:rsidRPr="00EA23E7">
        <w:rPr>
          <w:rFonts w:ascii="Arial Narrow" w:hAnsi="Arial Narrow"/>
        </w:rPr>
        <w:t xml:space="preserve"> </w:t>
      </w:r>
      <w:r w:rsidRPr="00EA23E7">
        <w:rPr>
          <w:rFonts w:ascii="Arial Narrow" w:eastAsia="Calibri" w:hAnsi="Arial Narrow"/>
        </w:rPr>
        <w:t xml:space="preserve">okres sprawozdawczy jest data wskazana w polu </w:t>
      </w:r>
      <w:r w:rsidRPr="00EA23E7">
        <w:rPr>
          <w:rFonts w:ascii="Arial Narrow" w:eastAsia="Calibri" w:hAnsi="Arial Narrow"/>
          <w:i/>
        </w:rPr>
        <w:t>Stan na dzień</w:t>
      </w:r>
      <w:r w:rsidRPr="00EA23E7">
        <w:rPr>
          <w:rFonts w:ascii="Arial Narrow" w:eastAsia="Calibri" w:hAnsi="Arial Narrow"/>
        </w:rPr>
        <w:t xml:space="preserve">. </w:t>
      </w:r>
      <w:r w:rsidRPr="00EA23E7">
        <w:rPr>
          <w:rFonts w:ascii="Arial Narrow" w:hAnsi="Arial Narrow" w:cs="Arial"/>
        </w:rPr>
        <w:t xml:space="preserve">Beneficjent zobowiązany jest do składania corocznego, do 31 stycznia każdego roku, </w:t>
      </w:r>
      <w:r w:rsidRPr="00EA23E7">
        <w:rPr>
          <w:rFonts w:ascii="Arial Narrow" w:hAnsi="Arial Narrow" w:cs="Arial"/>
        </w:rPr>
        <w:br/>
        <w:t xml:space="preserve">z zastrzeżeniem </w:t>
      </w:r>
      <w:r w:rsidRPr="00EA23E7">
        <w:rPr>
          <w:rStyle w:val="Domylnaczcionkaakapitu1"/>
          <w:rFonts w:ascii="Arial Narrow" w:hAnsi="Arial Narrow" w:cs="Arial"/>
          <w:bCs/>
          <w:color w:val="000000"/>
        </w:rPr>
        <w:t xml:space="preserve">§ 19 </w:t>
      </w:r>
      <w:r w:rsidRPr="00EA23E7">
        <w:rPr>
          <w:rFonts w:ascii="Arial Narrow" w:hAnsi="Arial Narrow" w:cs="Arial"/>
        </w:rPr>
        <w:t>ust. 13 umowy o dofinansowanie, Oświadczenia o przestrzeganiu zasady trwałości projektu zrealizowanego w ramach programu regionalnego Fundusze Europejskie dla Łódzkiego 2021 – 2027 wraz z ankietą, według wzoru określonego przez Instytucję Pośredniczącą.</w:t>
      </w:r>
    </w:p>
    <w:p w:rsidR="001A6E1E" w:rsidRPr="00EA23E7" w:rsidRDefault="001A6E1E" w:rsidP="001A6E1E">
      <w:pPr>
        <w:spacing w:after="200" w:line="276" w:lineRule="auto"/>
        <w:contextualSpacing/>
        <w:jc w:val="both"/>
        <w:rPr>
          <w:rFonts w:ascii="Arial Narrow" w:eastAsia="Calibri" w:hAnsi="Arial Narrow"/>
          <w:b/>
        </w:rPr>
      </w:pPr>
    </w:p>
    <w:p w:rsidR="001A6E1E" w:rsidRPr="00EA23E7" w:rsidRDefault="001A6E1E" w:rsidP="001A6E1E">
      <w:pPr>
        <w:spacing w:after="200" w:line="276" w:lineRule="auto"/>
        <w:contextualSpacing/>
        <w:jc w:val="both"/>
        <w:rPr>
          <w:rFonts w:ascii="Arial Narrow" w:hAnsi="Arial Narrow" w:cs="Arial"/>
          <w:lang w:eastAsia="en-US"/>
        </w:rPr>
      </w:pPr>
      <w:r w:rsidRPr="00EA23E7">
        <w:rPr>
          <w:rFonts w:ascii="Arial Narrow" w:eastAsia="Calibri" w:hAnsi="Arial Narrow"/>
          <w:b/>
          <w:bCs/>
        </w:rPr>
        <w:t>Dokumenty rejestrowe przedsiębiorcy</w:t>
      </w:r>
      <w:r w:rsidRPr="00EA23E7">
        <w:rPr>
          <w:rFonts w:ascii="Arial Narrow" w:eastAsia="Calibri" w:hAnsi="Arial Narrow"/>
        </w:rPr>
        <w:t xml:space="preserve"> – </w:t>
      </w:r>
      <w:r w:rsidRPr="00EA23E7">
        <w:rPr>
          <w:rFonts w:ascii="Arial Narrow" w:hAnsi="Arial Narrow" w:cs="Arial"/>
          <w:lang w:eastAsia="en-US"/>
        </w:rPr>
        <w:t xml:space="preserve">należy przez to rozumieć właściwe ze względu na formę organizacyjnoprawną Wnioskodawcy dokumenty rejestrowe, tj.: </w:t>
      </w:r>
    </w:p>
    <w:p w:rsidR="001A6E1E" w:rsidRPr="00EA23E7" w:rsidRDefault="001A6E1E" w:rsidP="001A6E1E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Arial Narrow" w:eastAsia="Calibri" w:hAnsi="Arial Narrow"/>
        </w:rPr>
      </w:pPr>
      <w:r w:rsidRPr="00EA23E7">
        <w:rPr>
          <w:rFonts w:ascii="Arial Narrow" w:hAnsi="Arial Narrow" w:cs="Arial"/>
          <w:lang w:eastAsia="en-US"/>
        </w:rPr>
        <w:t xml:space="preserve">w odniesieniu do podmiotów podlegających wpisowi do KRS - </w:t>
      </w:r>
      <w:r w:rsidRPr="00EA23E7">
        <w:rPr>
          <w:rFonts w:ascii="Arial Narrow" w:hAnsi="Arial Narrow" w:cs="Tahoma"/>
        </w:rPr>
        <w:t>właściwym dokumentem rejestrowym będzie</w:t>
      </w:r>
      <w:r w:rsidRPr="00EA23E7">
        <w:rPr>
          <w:rFonts w:ascii="Arial Narrow" w:hAnsi="Arial Narrow" w:cs="Arial"/>
          <w:lang w:eastAsia="en-US"/>
        </w:rPr>
        <w:t xml:space="preserve"> aktualny odpis z KRS, lub w uzasadnionych przypadkach dokument potwierdzający złożenie do właściwego miejscowo oddziału sądu, wniosku o dokonanie/zgłoszenie zmiany (w określonym zakresie) w dokumentach rejestrowych;</w:t>
      </w:r>
    </w:p>
    <w:p w:rsidR="001A6E1E" w:rsidRPr="00EA23E7" w:rsidRDefault="001A6E1E" w:rsidP="001A6E1E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Arial Narrow" w:eastAsia="Calibri" w:hAnsi="Arial Narrow"/>
        </w:rPr>
      </w:pPr>
      <w:r w:rsidRPr="00EA23E7">
        <w:rPr>
          <w:rFonts w:ascii="Arial Narrow" w:hAnsi="Arial Narrow" w:cs="Arial"/>
          <w:lang w:eastAsia="en-US"/>
        </w:rPr>
        <w:t xml:space="preserve">w odniesieniu do osób fizycznych prowadzących działalność gospodarczą - </w:t>
      </w:r>
      <w:r w:rsidRPr="00EA23E7">
        <w:rPr>
          <w:rFonts w:ascii="Arial Narrow" w:hAnsi="Arial Narrow" w:cs="Tahoma"/>
        </w:rPr>
        <w:t>właściwym dokumentem rejestrowym będzie</w:t>
      </w:r>
      <w:r w:rsidRPr="00EA23E7">
        <w:rPr>
          <w:rFonts w:ascii="Arial Narrow" w:hAnsi="Arial Narrow" w:cs="Arial"/>
          <w:lang w:eastAsia="en-US"/>
        </w:rPr>
        <w:t xml:space="preserve"> aktualny wpis do CEIDG lub/i umowa spółki cywilnej (jeżeli dotyczy), lub </w:t>
      </w:r>
      <w:r w:rsidRPr="00EA23E7">
        <w:rPr>
          <w:rFonts w:ascii="Arial Narrow" w:hAnsi="Arial Narrow" w:cs="Arial"/>
          <w:lang w:eastAsia="en-US"/>
        </w:rPr>
        <w:br/>
        <w:t xml:space="preserve">w uzasadnionych przypadkach dokument potwierdzający złożenie do danego urzędu, wniosku </w:t>
      </w:r>
      <w:r w:rsidRPr="00EA23E7">
        <w:rPr>
          <w:rFonts w:ascii="Arial Narrow" w:hAnsi="Arial Narrow" w:cs="Arial"/>
          <w:lang w:eastAsia="en-US"/>
        </w:rPr>
        <w:br/>
        <w:t>o dokonanie/zgłoszenie zmiany (w określonym zakresie) w dokumentach rejestrowych;</w:t>
      </w:r>
    </w:p>
    <w:p w:rsidR="001A6E1E" w:rsidRPr="00EA23E7" w:rsidRDefault="001A6E1E" w:rsidP="001A6E1E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Arial Narrow" w:eastAsia="Calibri" w:hAnsi="Arial Narrow"/>
        </w:rPr>
      </w:pPr>
      <w:r w:rsidRPr="00EA23E7">
        <w:rPr>
          <w:rFonts w:ascii="Arial Narrow" w:hAnsi="Arial Narrow" w:cs="Arial"/>
          <w:lang w:eastAsia="en-US"/>
        </w:rPr>
        <w:t>w przypadku Beneficjentów niepodlegających wpisowi do KRS ani do CEIDG, weryfikacji dokonuje się na podstawie zapisów w innych właściwych ze względu na formę organizacyjnoprawną Beneficjenta dokumentach rejestrowych - jeżeli Beneficjent na podstawie obowiązujących przepisów prawa podlega obowiązkowi rejestracji w innym właściwym rejestrze, a w przypadku braku takiego obowiązku (rejestru) na podstawie zapisów we właściwych ze względu na formę organizacyjnoprawną Beneficjenta dokumentach statutowych/ustrojowych.</w:t>
      </w:r>
    </w:p>
    <w:p w:rsidR="001A6E1E" w:rsidRPr="00EA23E7" w:rsidRDefault="001A6E1E" w:rsidP="001A6E1E">
      <w:pPr>
        <w:spacing w:after="200" w:line="276" w:lineRule="auto"/>
        <w:ind w:left="720"/>
        <w:contextualSpacing/>
        <w:jc w:val="both"/>
        <w:rPr>
          <w:rFonts w:ascii="Arial Narrow" w:eastAsia="Calibri" w:hAnsi="Arial Narrow"/>
        </w:rPr>
      </w:pPr>
      <w:r>
        <w:br/>
      </w:r>
      <w:r w:rsidRPr="2B8C174D">
        <w:rPr>
          <w:rFonts w:ascii="Arial Narrow" w:eastAsia="Calibri" w:hAnsi="Arial Narrow"/>
          <w:b/>
          <w:bCs/>
        </w:rPr>
        <w:t xml:space="preserve">Efekt dyfuzji </w:t>
      </w:r>
      <w:r w:rsidRPr="2B8C174D">
        <w:rPr>
          <w:rFonts w:ascii="Arial Narrow" w:eastAsia="Calibri" w:hAnsi="Arial Narrow"/>
        </w:rPr>
        <w:t>-</w:t>
      </w:r>
      <w:r w:rsidRPr="2B8C174D">
        <w:rPr>
          <w:rFonts w:ascii="Arial Narrow" w:eastAsia="Calibri" w:hAnsi="Arial Narrow"/>
          <w:b/>
          <w:bCs/>
        </w:rPr>
        <w:t xml:space="preserve"> </w:t>
      </w:r>
      <w:r w:rsidRPr="2B8C174D">
        <w:rPr>
          <w:rFonts w:ascii="Arial Narrow" w:eastAsia="Calibri" w:hAnsi="Arial Narrow"/>
        </w:rPr>
        <w:t xml:space="preserve">efekt dyfuzji w zakresie działalności B+R związany jest ściśle z realizowanym projektem. Dyfuzja zachodzi poprzez nawiązanie współpracy z MŚP, organizacją pozarządową lub badawczą, rozumianej jako realizacja projektu w konsorcjum lub partnerstwie, transfer wiedzy związany z wynikami projektu, staże pracownicze realizowane w ramach projektu lub </w:t>
      </w:r>
      <w:r>
        <w:br/>
      </w:r>
      <w:r w:rsidRPr="2B8C174D">
        <w:rPr>
          <w:rFonts w:ascii="Arial Narrow" w:eastAsia="Calibri" w:hAnsi="Arial Narrow"/>
        </w:rPr>
        <w:t xml:space="preserve">w okresie trwałości projektu, podwykonawstwo w projekcie lub w zakresie wdrożenia wyników prac B+R w okresie trwałości projektu. Należy odnieść się do dyfuzji ukierunkowanej </w:t>
      </w:r>
      <w:r>
        <w:br/>
      </w:r>
      <w:r w:rsidRPr="2B8C174D">
        <w:rPr>
          <w:rFonts w:ascii="Arial Narrow" w:eastAsia="Calibri" w:hAnsi="Arial Narrow"/>
        </w:rPr>
        <w:t>na zewnątrz podmiotu realizującego projekt (dyfuzja na zewnątrz zachodzi np. poprzez nawiązanie współpracy w sferze innowacji, poprzez aktywne uczestnictwo we wspólnych projektach innowacyjnych z innymi podmiotami).</w:t>
      </w:r>
    </w:p>
    <w:p w:rsidR="001A6E1E" w:rsidRPr="00EA23E7" w:rsidRDefault="001A6E1E" w:rsidP="001A6E1E">
      <w:pPr>
        <w:spacing w:after="200" w:line="276" w:lineRule="auto"/>
        <w:contextualSpacing/>
        <w:jc w:val="both"/>
        <w:rPr>
          <w:rFonts w:ascii="Arial Narrow" w:eastAsia="Calibri" w:hAnsi="Arial Narrow"/>
        </w:rPr>
      </w:pPr>
    </w:p>
    <w:p w:rsidR="001A6E1E" w:rsidRPr="00EA23E7" w:rsidRDefault="001A6E1E" w:rsidP="001A6E1E">
      <w:pPr>
        <w:spacing w:after="200" w:line="276" w:lineRule="auto"/>
        <w:contextualSpacing/>
        <w:jc w:val="both"/>
        <w:rPr>
          <w:rFonts w:ascii="Arial Narrow" w:eastAsia="Calibri" w:hAnsi="Arial Narrow"/>
        </w:rPr>
      </w:pPr>
      <w:r w:rsidRPr="00EA23E7">
        <w:rPr>
          <w:rFonts w:ascii="Arial Narrow" w:eastAsia="Calibri" w:hAnsi="Arial Narrow"/>
          <w:b/>
        </w:rPr>
        <w:t>Okres trwałości</w:t>
      </w:r>
      <w:r w:rsidRPr="00EA23E7">
        <w:rPr>
          <w:rFonts w:ascii="Arial Narrow" w:eastAsia="Calibri" w:hAnsi="Arial Narrow"/>
        </w:rPr>
        <w:t xml:space="preserve"> - Beneficjent w okresie 5 lat (3 lat w przypadku MŚP) od otrzymania płatności końcowej, a w przypadku braku płatności na rachunek bankowy Beneficjenta z wniosku o płatność końcową - od daty zatwierdzenia przez IP RPO WŁ wniosku o płatność końcową, nie może:</w:t>
      </w:r>
    </w:p>
    <w:p w:rsidR="001A6E1E" w:rsidRPr="00EA23E7" w:rsidRDefault="001A6E1E" w:rsidP="001A6E1E">
      <w:pPr>
        <w:spacing w:after="200" w:line="276" w:lineRule="auto"/>
        <w:contextualSpacing/>
        <w:jc w:val="both"/>
        <w:rPr>
          <w:rFonts w:ascii="Arial Narrow" w:eastAsia="Calibri" w:hAnsi="Arial Narrow"/>
        </w:rPr>
      </w:pPr>
      <w:r w:rsidRPr="00EA23E7">
        <w:rPr>
          <w:rFonts w:ascii="Arial Narrow" w:eastAsia="Calibri" w:hAnsi="Arial Narrow"/>
        </w:rPr>
        <w:t xml:space="preserve">a)  zaprzestać działalności produkcyjnej lub przenieść jej poza obszar objęty programem; </w:t>
      </w:r>
    </w:p>
    <w:p w:rsidR="001A6E1E" w:rsidRPr="00EA23E7" w:rsidRDefault="001A6E1E" w:rsidP="001A6E1E">
      <w:pPr>
        <w:spacing w:after="200" w:line="276" w:lineRule="auto"/>
        <w:contextualSpacing/>
        <w:jc w:val="both"/>
        <w:rPr>
          <w:rFonts w:ascii="Arial Narrow" w:eastAsia="Calibri" w:hAnsi="Arial Narrow"/>
        </w:rPr>
      </w:pPr>
      <w:r w:rsidRPr="00EA23E7">
        <w:rPr>
          <w:rFonts w:ascii="Arial Narrow" w:eastAsia="Calibri" w:hAnsi="Arial Narrow"/>
        </w:rPr>
        <w:t xml:space="preserve">b) dokonać zmiany własności elementu infrastruktury, która daje przedsiębiorstwu lub podmiotowi publicznemu nienależne korzyści; </w:t>
      </w:r>
    </w:p>
    <w:p w:rsidR="001A6E1E" w:rsidRPr="00EA23E7" w:rsidRDefault="001A6E1E" w:rsidP="001A6E1E">
      <w:pPr>
        <w:spacing w:after="200" w:line="276" w:lineRule="auto"/>
        <w:contextualSpacing/>
        <w:jc w:val="both"/>
        <w:rPr>
          <w:rFonts w:ascii="Arial Narrow" w:eastAsia="Calibri" w:hAnsi="Arial Narrow"/>
        </w:rPr>
      </w:pPr>
      <w:r w:rsidRPr="00EA23E7">
        <w:rPr>
          <w:rFonts w:ascii="Arial Narrow" w:eastAsia="Calibri" w:hAnsi="Arial Narrow"/>
        </w:rPr>
        <w:t>c) dokonać istotnej zmiany wpływającej na charakter operacji, jej cele lub warunki wdrażania, która mogłaby doprowadzić do naruszenia jej pierwotnych celów.</w:t>
      </w:r>
    </w:p>
    <w:p w:rsidR="001A6E1E" w:rsidRPr="00EA23E7" w:rsidRDefault="001A6E1E" w:rsidP="001A6E1E">
      <w:pPr>
        <w:spacing w:after="200" w:line="276" w:lineRule="auto"/>
        <w:contextualSpacing/>
        <w:jc w:val="both"/>
        <w:rPr>
          <w:rFonts w:ascii="Arial Narrow" w:eastAsia="Calibri" w:hAnsi="Arial Narrow"/>
        </w:rPr>
      </w:pPr>
      <w:r w:rsidRPr="00EA23E7">
        <w:rPr>
          <w:rFonts w:ascii="Arial Narrow" w:eastAsia="Calibri" w:hAnsi="Arial Narrow"/>
        </w:rPr>
        <w:t xml:space="preserve">W przypadku Beneficjentów innych niż MŚP, naruszenie zasady trwałości występuje również </w:t>
      </w:r>
      <w:r w:rsidRPr="00EA23E7">
        <w:rPr>
          <w:rFonts w:ascii="Arial Narrow" w:eastAsia="Calibri" w:hAnsi="Arial Narrow"/>
        </w:rPr>
        <w:br/>
        <w:t xml:space="preserve">w przypadku (w odniesieniu do inwestycji w infrastrukturę lub inwestycji produkcyjnych) przeniesienia </w:t>
      </w:r>
      <w:r w:rsidRPr="00EA23E7">
        <w:rPr>
          <w:rFonts w:ascii="Arial Narrow" w:eastAsia="Calibri" w:hAnsi="Arial Narrow"/>
        </w:rPr>
        <w:br/>
        <w:t>w okresie 10 lat od daty płatności końcowej działalności produkcyjnej poza obszar UE.</w:t>
      </w:r>
    </w:p>
    <w:p w:rsidR="001A6E1E" w:rsidRPr="00EA23E7" w:rsidRDefault="001A6E1E" w:rsidP="001A6E1E">
      <w:pPr>
        <w:spacing w:after="200" w:line="276" w:lineRule="auto"/>
        <w:contextualSpacing/>
        <w:jc w:val="both"/>
        <w:rPr>
          <w:rFonts w:ascii="Arial Narrow" w:eastAsia="Calibri" w:hAnsi="Arial Narrow"/>
        </w:rPr>
      </w:pPr>
      <w:r w:rsidRPr="00EA23E7">
        <w:rPr>
          <w:rFonts w:ascii="Arial Narrow" w:eastAsia="Calibri" w:hAnsi="Arial Narrow"/>
        </w:rPr>
        <w:t xml:space="preserve"> </w:t>
      </w:r>
    </w:p>
    <w:p w:rsidR="001A6E1E" w:rsidRPr="00EA23E7" w:rsidRDefault="001A6E1E" w:rsidP="001A6E1E">
      <w:pPr>
        <w:spacing w:after="200" w:line="276" w:lineRule="auto"/>
        <w:contextualSpacing/>
        <w:jc w:val="both"/>
        <w:rPr>
          <w:rFonts w:ascii="Arial Narrow" w:eastAsia="Calibri" w:hAnsi="Arial Narrow"/>
        </w:rPr>
      </w:pPr>
      <w:r w:rsidRPr="00EA23E7">
        <w:rPr>
          <w:rFonts w:ascii="Arial Narrow" w:eastAsia="Calibri" w:hAnsi="Arial Narrow"/>
          <w:b/>
        </w:rPr>
        <w:t xml:space="preserve">Stan na dzień </w:t>
      </w:r>
      <w:r w:rsidRPr="00EA23E7">
        <w:rPr>
          <w:rFonts w:ascii="Arial Narrow" w:eastAsia="Calibri" w:hAnsi="Arial Narrow"/>
        </w:rPr>
        <w:t>-</w:t>
      </w:r>
      <w:r w:rsidRPr="00EA23E7">
        <w:rPr>
          <w:rFonts w:ascii="Arial Narrow" w:eastAsia="Calibri" w:hAnsi="Arial Narrow"/>
          <w:b/>
        </w:rPr>
        <w:t xml:space="preserve"> </w:t>
      </w:r>
      <w:r w:rsidRPr="00EA23E7">
        <w:rPr>
          <w:rFonts w:ascii="Arial Narrow" w:eastAsia="Calibri" w:hAnsi="Arial Narrow"/>
        </w:rPr>
        <w:t>powyższa data określa dzień, na który prezentowane są dane w oświadczeniu. Data kończąca okres sprawozdawczy nie może być wcześniejsza niż 31 grudnia roku, za który składane jest oświadczenie, jednak może być również późniejsza, np. dzień wypełnienia oświadczenia. W przypadku oświadczenia kończącego okres trwałości, datą końcową będzie data nie wcześniejsza niż data dzienna zakończenia okresu trwałości projektu.</w:t>
      </w:r>
    </w:p>
    <w:p w:rsidR="001A6E1E" w:rsidRPr="00EA23E7" w:rsidRDefault="001A6E1E" w:rsidP="001A6E1E">
      <w:pPr>
        <w:spacing w:after="200" w:line="276" w:lineRule="auto"/>
        <w:contextualSpacing/>
        <w:jc w:val="both"/>
        <w:rPr>
          <w:rFonts w:ascii="Arial Narrow" w:eastAsia="Calibri" w:hAnsi="Arial Narrow"/>
        </w:rPr>
      </w:pPr>
    </w:p>
    <w:p w:rsidR="001A6E1E" w:rsidRPr="00EA23E7" w:rsidRDefault="001A6E1E" w:rsidP="001A6E1E">
      <w:pPr>
        <w:spacing w:after="200" w:line="276" w:lineRule="auto"/>
        <w:contextualSpacing/>
        <w:jc w:val="both"/>
        <w:rPr>
          <w:rFonts w:ascii="Arial Narrow" w:eastAsia="Calibri" w:hAnsi="Arial Narrow"/>
        </w:rPr>
      </w:pPr>
      <w:r w:rsidRPr="00EA23E7">
        <w:rPr>
          <w:rFonts w:ascii="Arial Narrow" w:eastAsia="Calibri" w:hAnsi="Arial Narrow"/>
          <w:b/>
        </w:rPr>
        <w:t>Projekty infrastrukturalne</w:t>
      </w:r>
      <w:r w:rsidRPr="00EA23E7">
        <w:rPr>
          <w:rFonts w:ascii="Arial Narrow" w:eastAsia="Calibri" w:hAnsi="Arial Narrow"/>
        </w:rPr>
        <w:t xml:space="preserve"> - w kontekście zachowania trwałości projektu, przez pojęcie „inwestycje</w:t>
      </w:r>
      <w:r w:rsidRPr="00EA23E7">
        <w:rPr>
          <w:rFonts w:ascii="Arial Narrow" w:eastAsia="Calibri" w:hAnsi="Arial Narrow"/>
        </w:rPr>
        <w:br/>
        <w:t xml:space="preserve">w infrastrukturę lub inwestycje produkcyjne”, należy rozumieć każdy projekt dotyczący inwestycji </w:t>
      </w:r>
      <w:r w:rsidRPr="00EA23E7">
        <w:rPr>
          <w:rFonts w:ascii="Arial Narrow" w:eastAsia="Calibri" w:hAnsi="Arial Narrow"/>
        </w:rPr>
        <w:br/>
        <w:t xml:space="preserve">w nieruchomości, zakupu środków trwałych oraz wartości niematerialnych i prawnych. </w:t>
      </w:r>
    </w:p>
    <w:p w:rsidR="001A6E1E" w:rsidRPr="00EA23E7" w:rsidRDefault="001A6E1E" w:rsidP="001A6E1E">
      <w:pPr>
        <w:spacing w:after="200" w:line="276" w:lineRule="auto"/>
        <w:contextualSpacing/>
        <w:jc w:val="both"/>
        <w:rPr>
          <w:rFonts w:ascii="Arial Narrow" w:eastAsia="Calibri" w:hAnsi="Arial Narrow"/>
          <w:b/>
        </w:rPr>
      </w:pPr>
    </w:p>
    <w:p w:rsidR="001A6E1E" w:rsidRPr="00EA23E7" w:rsidRDefault="001A6E1E" w:rsidP="001A6E1E">
      <w:pPr>
        <w:spacing w:after="200" w:line="276" w:lineRule="auto"/>
        <w:contextualSpacing/>
        <w:jc w:val="both"/>
        <w:rPr>
          <w:rStyle w:val="Domylnaczcionkaakapitu1"/>
          <w:rFonts w:ascii="Arial Narrow" w:hAnsi="Arial Narrow"/>
          <w:bCs/>
        </w:rPr>
      </w:pPr>
      <w:r w:rsidRPr="00EA23E7">
        <w:rPr>
          <w:rFonts w:ascii="Arial Narrow" w:eastAsia="Calibri" w:hAnsi="Arial Narrow"/>
          <w:b/>
        </w:rPr>
        <w:t>Rozporządzenie ogólne</w:t>
      </w:r>
      <w:r w:rsidRPr="00EA23E7">
        <w:rPr>
          <w:rFonts w:ascii="Arial Narrow" w:hAnsi="Arial Narrow"/>
        </w:rPr>
        <w:t xml:space="preserve"> – </w:t>
      </w:r>
      <w:bookmarkStart w:id="0" w:name="_Hlk141264316"/>
      <w:r w:rsidRPr="00EA23E7">
        <w:rPr>
          <w:rStyle w:val="Domylnaczcionkaakapitu1"/>
          <w:rFonts w:ascii="Arial Narrow" w:hAnsi="Arial Narrow"/>
          <w:bCs/>
        </w:rPr>
        <w:t xml:space="preserve">Rozporządzenie Parlamentu Europejskiego i Rady (UE) nr 2021/1060 z dnia 24 czerwca 2021 r. </w:t>
      </w:r>
      <w:bookmarkEnd w:id="0"/>
      <w:r w:rsidRPr="00EA23E7">
        <w:rPr>
          <w:rStyle w:val="Domylnaczcionkaakapitu1"/>
          <w:rFonts w:ascii="Arial Narrow" w:hAnsi="Arial Narrow"/>
          <w:bCs/>
        </w:rPr>
        <w:t>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</w:t>
      </w:r>
    </w:p>
    <w:p w:rsidR="001A6E1E" w:rsidRDefault="001A6E1E" w:rsidP="001A6E1E"/>
    <w:p w:rsidR="00CE3AD1" w:rsidRPr="009C0B4E" w:rsidRDefault="00CE3AD1" w:rsidP="009C0B4E"/>
    <w:sectPr w:rsidR="00CE3AD1" w:rsidRPr="009C0B4E" w:rsidSect="003D4D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06" w:bottom="1418" w:left="1077" w:header="0" w:footer="12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1C15" w:rsidRDefault="003C1C15">
      <w:r>
        <w:separator/>
      </w:r>
    </w:p>
  </w:endnote>
  <w:endnote w:type="continuationSeparator" w:id="0">
    <w:p w:rsidR="003C1C15" w:rsidRDefault="003C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529C" w:rsidRDefault="00B05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6D8" w:rsidRDefault="00B0529C">
    <w:pPr>
      <w:pStyle w:val="Stopka"/>
    </w:pPr>
    <w:r>
      <w:rPr>
        <w:noProof/>
      </w:rPr>
      <w:drawing>
        <wp:anchor distT="0" distB="0" distL="114300" distR="114300" simplePos="0" relativeHeight="251659776" behindDoc="1" locked="0" layoutInCell="1" allowOverlap="1" wp14:anchorId="79D1D1B6" wp14:editId="01672A55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174105" cy="798195"/>
          <wp:effectExtent l="0" t="0" r="0" b="1905"/>
          <wp:wrapNone/>
          <wp:docPr id="209571955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410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56D8" w:rsidRDefault="00B0529C">
    <w:pPr>
      <w:pStyle w:val="Stopka"/>
    </w:pPr>
    <w:r>
      <w:rPr>
        <w:noProof/>
      </w:rPr>
      <w:drawing>
        <wp:anchor distT="0" distB="0" distL="114300" distR="114300" simplePos="0" relativeHeight="251661824" behindDoc="1" locked="0" layoutInCell="1" allowOverlap="1" wp14:anchorId="2D35A62D" wp14:editId="7E34D7CC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174105" cy="798195"/>
          <wp:effectExtent l="0" t="0" r="0" b="1905"/>
          <wp:wrapNone/>
          <wp:docPr id="9169467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4105" cy="79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1C15" w:rsidRDefault="003C1C15">
      <w:r>
        <w:separator/>
      </w:r>
    </w:p>
  </w:footnote>
  <w:footnote w:type="continuationSeparator" w:id="0">
    <w:p w:rsidR="003C1C15" w:rsidRDefault="003C1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529C" w:rsidRDefault="00B05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529C" w:rsidRDefault="00B0529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5CA0" w:rsidRPr="006556D8" w:rsidRDefault="006556D8" w:rsidP="006556D8">
    <w:pPr>
      <w:pStyle w:val="Nagwek"/>
      <w:tabs>
        <w:tab w:val="clear" w:pos="4536"/>
        <w:tab w:val="left" w:pos="1980"/>
      </w:tabs>
      <w:rPr>
        <w:rFonts w:ascii="Arial" w:hAnsi="Arial" w:cs="Arial"/>
        <w:sz w:val="10"/>
        <w:szCs w:val="10"/>
      </w:rPr>
    </w:pPr>
    <w:r w:rsidRPr="006556D8">
      <w:rPr>
        <w:noProof/>
        <w:sz w:val="10"/>
        <w:szCs w:val="10"/>
      </w:rPr>
      <w:drawing>
        <wp:anchor distT="0" distB="0" distL="114300" distR="114300" simplePos="0" relativeHeight="251657728" behindDoc="0" locked="0" layoutInCell="1" allowOverlap="1" wp14:anchorId="5C3494DD" wp14:editId="683FD6F2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28560" cy="1685925"/>
          <wp:effectExtent l="0" t="0" r="0" b="9525"/>
          <wp:wrapTopAndBottom/>
          <wp:docPr id="1881645977" name="Obraz 18816459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997029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0" cy="1685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E3AC3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FE503B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F50C66"/>
    <w:multiLevelType w:val="hybridMultilevel"/>
    <w:tmpl w:val="3CE81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946E3"/>
    <w:multiLevelType w:val="hybridMultilevel"/>
    <w:tmpl w:val="56E866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51300"/>
    <w:multiLevelType w:val="hybridMultilevel"/>
    <w:tmpl w:val="7BB8A4BA"/>
    <w:lvl w:ilvl="0" w:tplc="9AD681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7940851">
    <w:abstractNumId w:val="0"/>
  </w:num>
  <w:num w:numId="2" w16cid:durableId="1803960532">
    <w:abstractNumId w:val="2"/>
  </w:num>
  <w:num w:numId="3" w16cid:durableId="1492453854">
    <w:abstractNumId w:val="1"/>
  </w:num>
  <w:num w:numId="4" w16cid:durableId="182566148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9708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D1"/>
    <w:rsid w:val="000040DF"/>
    <w:rsid w:val="000076BB"/>
    <w:rsid w:val="00013538"/>
    <w:rsid w:val="00017AAA"/>
    <w:rsid w:val="00034A8D"/>
    <w:rsid w:val="00034FFB"/>
    <w:rsid w:val="00036C35"/>
    <w:rsid w:val="00042553"/>
    <w:rsid w:val="00043E71"/>
    <w:rsid w:val="0004750A"/>
    <w:rsid w:val="00051896"/>
    <w:rsid w:val="00054BBD"/>
    <w:rsid w:val="00055671"/>
    <w:rsid w:val="00055A8C"/>
    <w:rsid w:val="000569E4"/>
    <w:rsid w:val="00062E30"/>
    <w:rsid w:val="000B4B3A"/>
    <w:rsid w:val="000C1FB6"/>
    <w:rsid w:val="000C3858"/>
    <w:rsid w:val="000C6B53"/>
    <w:rsid w:val="000D369D"/>
    <w:rsid w:val="000E20AF"/>
    <w:rsid w:val="000E2368"/>
    <w:rsid w:val="000E7AC5"/>
    <w:rsid w:val="000F559F"/>
    <w:rsid w:val="000F55C8"/>
    <w:rsid w:val="00106269"/>
    <w:rsid w:val="00125999"/>
    <w:rsid w:val="00131570"/>
    <w:rsid w:val="00134D3D"/>
    <w:rsid w:val="00143A07"/>
    <w:rsid w:val="001476E6"/>
    <w:rsid w:val="00150136"/>
    <w:rsid w:val="00151EE9"/>
    <w:rsid w:val="00154BE9"/>
    <w:rsid w:val="00161E9F"/>
    <w:rsid w:val="001641BC"/>
    <w:rsid w:val="001660AF"/>
    <w:rsid w:val="0017496E"/>
    <w:rsid w:val="001751B3"/>
    <w:rsid w:val="00183BA5"/>
    <w:rsid w:val="001917B3"/>
    <w:rsid w:val="00192219"/>
    <w:rsid w:val="00193DC0"/>
    <w:rsid w:val="001942D7"/>
    <w:rsid w:val="00196052"/>
    <w:rsid w:val="001A15A4"/>
    <w:rsid w:val="001A572F"/>
    <w:rsid w:val="001A66E9"/>
    <w:rsid w:val="001A6E1E"/>
    <w:rsid w:val="001B11F5"/>
    <w:rsid w:val="001B17DC"/>
    <w:rsid w:val="001B44A0"/>
    <w:rsid w:val="001B631B"/>
    <w:rsid w:val="001B7527"/>
    <w:rsid w:val="001D23C3"/>
    <w:rsid w:val="001F0958"/>
    <w:rsid w:val="001F2D8C"/>
    <w:rsid w:val="001F782D"/>
    <w:rsid w:val="00213B07"/>
    <w:rsid w:val="00221ADA"/>
    <w:rsid w:val="00242E67"/>
    <w:rsid w:val="0024414D"/>
    <w:rsid w:val="0024753D"/>
    <w:rsid w:val="00255E27"/>
    <w:rsid w:val="00270624"/>
    <w:rsid w:val="00271CC3"/>
    <w:rsid w:val="00274627"/>
    <w:rsid w:val="00281E67"/>
    <w:rsid w:val="00297FCA"/>
    <w:rsid w:val="002B4A31"/>
    <w:rsid w:val="002B6F4B"/>
    <w:rsid w:val="002C1933"/>
    <w:rsid w:val="002C1CEA"/>
    <w:rsid w:val="002C2E88"/>
    <w:rsid w:val="002C6FA7"/>
    <w:rsid w:val="002E259F"/>
    <w:rsid w:val="002E6046"/>
    <w:rsid w:val="002F4E72"/>
    <w:rsid w:val="00300380"/>
    <w:rsid w:val="00304C3C"/>
    <w:rsid w:val="0030741C"/>
    <w:rsid w:val="003102A0"/>
    <w:rsid w:val="00310F82"/>
    <w:rsid w:val="0031554B"/>
    <w:rsid w:val="00326F5C"/>
    <w:rsid w:val="00336D58"/>
    <w:rsid w:val="00341049"/>
    <w:rsid w:val="00352179"/>
    <w:rsid w:val="00371894"/>
    <w:rsid w:val="00377E6A"/>
    <w:rsid w:val="0038337C"/>
    <w:rsid w:val="003911F9"/>
    <w:rsid w:val="003939A6"/>
    <w:rsid w:val="00394DF5"/>
    <w:rsid w:val="003A2856"/>
    <w:rsid w:val="003B024A"/>
    <w:rsid w:val="003B4092"/>
    <w:rsid w:val="003C1AEC"/>
    <w:rsid w:val="003C1C15"/>
    <w:rsid w:val="003C6987"/>
    <w:rsid w:val="003D01A7"/>
    <w:rsid w:val="003D4D75"/>
    <w:rsid w:val="003E0B42"/>
    <w:rsid w:val="003E0F80"/>
    <w:rsid w:val="003E5B7A"/>
    <w:rsid w:val="003E78CD"/>
    <w:rsid w:val="003F2C24"/>
    <w:rsid w:val="00401A23"/>
    <w:rsid w:val="00404CE4"/>
    <w:rsid w:val="0040667D"/>
    <w:rsid w:val="00415D04"/>
    <w:rsid w:val="0045122D"/>
    <w:rsid w:val="004516A0"/>
    <w:rsid w:val="00455123"/>
    <w:rsid w:val="00456CFF"/>
    <w:rsid w:val="00467816"/>
    <w:rsid w:val="0047267E"/>
    <w:rsid w:val="004747E6"/>
    <w:rsid w:val="00477726"/>
    <w:rsid w:val="004850E7"/>
    <w:rsid w:val="00485DC0"/>
    <w:rsid w:val="004A31CB"/>
    <w:rsid w:val="004A33D3"/>
    <w:rsid w:val="004A496A"/>
    <w:rsid w:val="004A4BC4"/>
    <w:rsid w:val="004C57D1"/>
    <w:rsid w:val="004D56FD"/>
    <w:rsid w:val="004E6C6B"/>
    <w:rsid w:val="004F4340"/>
    <w:rsid w:val="004F6887"/>
    <w:rsid w:val="00525B9C"/>
    <w:rsid w:val="00530B8F"/>
    <w:rsid w:val="00531785"/>
    <w:rsid w:val="00532C23"/>
    <w:rsid w:val="00532E46"/>
    <w:rsid w:val="00533AFC"/>
    <w:rsid w:val="005358EE"/>
    <w:rsid w:val="005359A9"/>
    <w:rsid w:val="005364ED"/>
    <w:rsid w:val="005410E8"/>
    <w:rsid w:val="00543F7B"/>
    <w:rsid w:val="00554182"/>
    <w:rsid w:val="00570B4D"/>
    <w:rsid w:val="00570BD8"/>
    <w:rsid w:val="00583E99"/>
    <w:rsid w:val="005843F9"/>
    <w:rsid w:val="00584EDC"/>
    <w:rsid w:val="005865AC"/>
    <w:rsid w:val="00587F18"/>
    <w:rsid w:val="005A0157"/>
    <w:rsid w:val="005A26BF"/>
    <w:rsid w:val="005C195D"/>
    <w:rsid w:val="005C2CD0"/>
    <w:rsid w:val="005D1ED1"/>
    <w:rsid w:val="005D3FFC"/>
    <w:rsid w:val="005E03A6"/>
    <w:rsid w:val="005E4975"/>
    <w:rsid w:val="005F3063"/>
    <w:rsid w:val="005F6A26"/>
    <w:rsid w:val="006027FA"/>
    <w:rsid w:val="00602FE0"/>
    <w:rsid w:val="006065DD"/>
    <w:rsid w:val="00615BEC"/>
    <w:rsid w:val="00622479"/>
    <w:rsid w:val="006244AE"/>
    <w:rsid w:val="00624953"/>
    <w:rsid w:val="00625D38"/>
    <w:rsid w:val="0063209B"/>
    <w:rsid w:val="006334F1"/>
    <w:rsid w:val="0064474E"/>
    <w:rsid w:val="00654C63"/>
    <w:rsid w:val="006556D8"/>
    <w:rsid w:val="00655B8C"/>
    <w:rsid w:val="00675D26"/>
    <w:rsid w:val="0068337C"/>
    <w:rsid w:val="00684389"/>
    <w:rsid w:val="00687B74"/>
    <w:rsid w:val="006908E7"/>
    <w:rsid w:val="006951F7"/>
    <w:rsid w:val="006A6C5B"/>
    <w:rsid w:val="006B55CD"/>
    <w:rsid w:val="006C0FD6"/>
    <w:rsid w:val="006C42AC"/>
    <w:rsid w:val="006C540D"/>
    <w:rsid w:val="006C5A9B"/>
    <w:rsid w:val="006D74DD"/>
    <w:rsid w:val="006E585D"/>
    <w:rsid w:val="006F10C2"/>
    <w:rsid w:val="006F39AB"/>
    <w:rsid w:val="007004DC"/>
    <w:rsid w:val="00715D82"/>
    <w:rsid w:val="00725608"/>
    <w:rsid w:val="00734DC8"/>
    <w:rsid w:val="00747128"/>
    <w:rsid w:val="00751C38"/>
    <w:rsid w:val="00751FCA"/>
    <w:rsid w:val="00755572"/>
    <w:rsid w:val="0075558F"/>
    <w:rsid w:val="0075666B"/>
    <w:rsid w:val="00765B25"/>
    <w:rsid w:val="00775B16"/>
    <w:rsid w:val="007829B2"/>
    <w:rsid w:val="00782E07"/>
    <w:rsid w:val="007842B5"/>
    <w:rsid w:val="0079546D"/>
    <w:rsid w:val="007A2FD1"/>
    <w:rsid w:val="007C3C7C"/>
    <w:rsid w:val="007C5648"/>
    <w:rsid w:val="007C5FA2"/>
    <w:rsid w:val="007D2EB5"/>
    <w:rsid w:val="007D67CE"/>
    <w:rsid w:val="007E1D5A"/>
    <w:rsid w:val="007E3A52"/>
    <w:rsid w:val="00820268"/>
    <w:rsid w:val="0082087C"/>
    <w:rsid w:val="00822A25"/>
    <w:rsid w:val="00822F60"/>
    <w:rsid w:val="00831AF4"/>
    <w:rsid w:val="008407B7"/>
    <w:rsid w:val="008451E4"/>
    <w:rsid w:val="008547C5"/>
    <w:rsid w:val="00856EF5"/>
    <w:rsid w:val="008700FB"/>
    <w:rsid w:val="00870759"/>
    <w:rsid w:val="00880F03"/>
    <w:rsid w:val="0089187E"/>
    <w:rsid w:val="00892E94"/>
    <w:rsid w:val="00896964"/>
    <w:rsid w:val="0089721E"/>
    <w:rsid w:val="008A5AE5"/>
    <w:rsid w:val="008B48BA"/>
    <w:rsid w:val="008B5B97"/>
    <w:rsid w:val="008C3AB8"/>
    <w:rsid w:val="008C4998"/>
    <w:rsid w:val="008C5007"/>
    <w:rsid w:val="008D3FA9"/>
    <w:rsid w:val="008D6AFA"/>
    <w:rsid w:val="008E0C53"/>
    <w:rsid w:val="008E6296"/>
    <w:rsid w:val="008E711A"/>
    <w:rsid w:val="008F7350"/>
    <w:rsid w:val="0090022A"/>
    <w:rsid w:val="009034F5"/>
    <w:rsid w:val="00905626"/>
    <w:rsid w:val="00906E52"/>
    <w:rsid w:val="00914677"/>
    <w:rsid w:val="00925490"/>
    <w:rsid w:val="00953605"/>
    <w:rsid w:val="00956529"/>
    <w:rsid w:val="00962396"/>
    <w:rsid w:val="00963E1E"/>
    <w:rsid w:val="0096606B"/>
    <w:rsid w:val="009726BC"/>
    <w:rsid w:val="00972F63"/>
    <w:rsid w:val="00981491"/>
    <w:rsid w:val="00982E7A"/>
    <w:rsid w:val="00985896"/>
    <w:rsid w:val="00987EF7"/>
    <w:rsid w:val="009948A5"/>
    <w:rsid w:val="009B50D0"/>
    <w:rsid w:val="009C0B4E"/>
    <w:rsid w:val="009C2E24"/>
    <w:rsid w:val="009C4CAB"/>
    <w:rsid w:val="009C6079"/>
    <w:rsid w:val="009D64EA"/>
    <w:rsid w:val="009D751B"/>
    <w:rsid w:val="009E0083"/>
    <w:rsid w:val="009F5B51"/>
    <w:rsid w:val="00A023C0"/>
    <w:rsid w:val="00A0337C"/>
    <w:rsid w:val="00A12A4B"/>
    <w:rsid w:val="00A13EE6"/>
    <w:rsid w:val="00A14652"/>
    <w:rsid w:val="00A17DEA"/>
    <w:rsid w:val="00A236D3"/>
    <w:rsid w:val="00A35DC7"/>
    <w:rsid w:val="00A4460E"/>
    <w:rsid w:val="00A453C5"/>
    <w:rsid w:val="00A55C5D"/>
    <w:rsid w:val="00A62EB8"/>
    <w:rsid w:val="00A634E2"/>
    <w:rsid w:val="00A66625"/>
    <w:rsid w:val="00A7096C"/>
    <w:rsid w:val="00A7462F"/>
    <w:rsid w:val="00A7749A"/>
    <w:rsid w:val="00A77748"/>
    <w:rsid w:val="00AA076E"/>
    <w:rsid w:val="00AA0DD7"/>
    <w:rsid w:val="00AA1453"/>
    <w:rsid w:val="00AA3BC9"/>
    <w:rsid w:val="00AA4296"/>
    <w:rsid w:val="00AA43D9"/>
    <w:rsid w:val="00AA634A"/>
    <w:rsid w:val="00AB2315"/>
    <w:rsid w:val="00AB73FA"/>
    <w:rsid w:val="00AC10C8"/>
    <w:rsid w:val="00AC5CA0"/>
    <w:rsid w:val="00AE1969"/>
    <w:rsid w:val="00AE5876"/>
    <w:rsid w:val="00AF252A"/>
    <w:rsid w:val="00AF4A45"/>
    <w:rsid w:val="00AF585B"/>
    <w:rsid w:val="00AF7BF6"/>
    <w:rsid w:val="00B0059A"/>
    <w:rsid w:val="00B03432"/>
    <w:rsid w:val="00B04D21"/>
    <w:rsid w:val="00B0529C"/>
    <w:rsid w:val="00B14800"/>
    <w:rsid w:val="00B306D3"/>
    <w:rsid w:val="00B33E58"/>
    <w:rsid w:val="00B47E48"/>
    <w:rsid w:val="00B644B4"/>
    <w:rsid w:val="00B67EC3"/>
    <w:rsid w:val="00B710C5"/>
    <w:rsid w:val="00B77D5F"/>
    <w:rsid w:val="00B841D0"/>
    <w:rsid w:val="00B92A09"/>
    <w:rsid w:val="00B93A7F"/>
    <w:rsid w:val="00BA6758"/>
    <w:rsid w:val="00BC23FB"/>
    <w:rsid w:val="00BC3ED2"/>
    <w:rsid w:val="00BC76E9"/>
    <w:rsid w:val="00BD3C17"/>
    <w:rsid w:val="00BE4154"/>
    <w:rsid w:val="00BF6935"/>
    <w:rsid w:val="00C04A87"/>
    <w:rsid w:val="00C0515B"/>
    <w:rsid w:val="00C1310C"/>
    <w:rsid w:val="00C1317F"/>
    <w:rsid w:val="00C1690D"/>
    <w:rsid w:val="00C20969"/>
    <w:rsid w:val="00C20E43"/>
    <w:rsid w:val="00C21551"/>
    <w:rsid w:val="00C51CDB"/>
    <w:rsid w:val="00C54764"/>
    <w:rsid w:val="00C569BA"/>
    <w:rsid w:val="00C60C45"/>
    <w:rsid w:val="00C616E1"/>
    <w:rsid w:val="00C63D11"/>
    <w:rsid w:val="00C678F5"/>
    <w:rsid w:val="00C67BEE"/>
    <w:rsid w:val="00C740CC"/>
    <w:rsid w:val="00C87421"/>
    <w:rsid w:val="00C93CBA"/>
    <w:rsid w:val="00C95C6C"/>
    <w:rsid w:val="00CA1095"/>
    <w:rsid w:val="00CA121A"/>
    <w:rsid w:val="00CA453C"/>
    <w:rsid w:val="00CB3E0A"/>
    <w:rsid w:val="00CB46D5"/>
    <w:rsid w:val="00CB6D8A"/>
    <w:rsid w:val="00CC0F09"/>
    <w:rsid w:val="00CD5BF8"/>
    <w:rsid w:val="00CD7635"/>
    <w:rsid w:val="00CE1878"/>
    <w:rsid w:val="00CE3AD1"/>
    <w:rsid w:val="00CF2B0F"/>
    <w:rsid w:val="00CF54C9"/>
    <w:rsid w:val="00CF7C0F"/>
    <w:rsid w:val="00D015EB"/>
    <w:rsid w:val="00D03169"/>
    <w:rsid w:val="00D10409"/>
    <w:rsid w:val="00D11CF9"/>
    <w:rsid w:val="00D150B1"/>
    <w:rsid w:val="00D177C9"/>
    <w:rsid w:val="00D247A2"/>
    <w:rsid w:val="00D30E42"/>
    <w:rsid w:val="00D35E2A"/>
    <w:rsid w:val="00D441FD"/>
    <w:rsid w:val="00D54637"/>
    <w:rsid w:val="00D655F3"/>
    <w:rsid w:val="00D71E35"/>
    <w:rsid w:val="00D76773"/>
    <w:rsid w:val="00D9627E"/>
    <w:rsid w:val="00DA3086"/>
    <w:rsid w:val="00DA7BCB"/>
    <w:rsid w:val="00DB68EF"/>
    <w:rsid w:val="00DC5504"/>
    <w:rsid w:val="00DE02DD"/>
    <w:rsid w:val="00E0289D"/>
    <w:rsid w:val="00E05166"/>
    <w:rsid w:val="00E13D56"/>
    <w:rsid w:val="00E16320"/>
    <w:rsid w:val="00E265DD"/>
    <w:rsid w:val="00E311FA"/>
    <w:rsid w:val="00E31EF4"/>
    <w:rsid w:val="00E33D69"/>
    <w:rsid w:val="00E53732"/>
    <w:rsid w:val="00E715D1"/>
    <w:rsid w:val="00E71D1C"/>
    <w:rsid w:val="00E728CE"/>
    <w:rsid w:val="00E72953"/>
    <w:rsid w:val="00E87696"/>
    <w:rsid w:val="00E90496"/>
    <w:rsid w:val="00E96F3C"/>
    <w:rsid w:val="00EA33F3"/>
    <w:rsid w:val="00ED0D74"/>
    <w:rsid w:val="00EE0F38"/>
    <w:rsid w:val="00EE1254"/>
    <w:rsid w:val="00F14C2F"/>
    <w:rsid w:val="00F20102"/>
    <w:rsid w:val="00F22C91"/>
    <w:rsid w:val="00F270CE"/>
    <w:rsid w:val="00F31759"/>
    <w:rsid w:val="00F320B7"/>
    <w:rsid w:val="00F351F6"/>
    <w:rsid w:val="00F352F8"/>
    <w:rsid w:val="00F43A54"/>
    <w:rsid w:val="00F51D54"/>
    <w:rsid w:val="00F55D88"/>
    <w:rsid w:val="00F85E07"/>
    <w:rsid w:val="00FB6B67"/>
    <w:rsid w:val="00FC2213"/>
    <w:rsid w:val="00FC2E05"/>
    <w:rsid w:val="00FD4C8D"/>
    <w:rsid w:val="00FD6CEF"/>
    <w:rsid w:val="00FE2307"/>
    <w:rsid w:val="00FF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FDD2DF"/>
  <w15:chartTrackingRefBased/>
  <w15:docId w15:val="{54B20CAA-DE43-4C4B-83BE-E079363D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E3AD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33E5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72953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4F688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C6FA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C6FA7"/>
  </w:style>
  <w:style w:type="character" w:styleId="Odwoanieprzypisukocowego">
    <w:name w:val="endnote reference"/>
    <w:rsid w:val="002C6FA7"/>
    <w:rPr>
      <w:vertAlign w:val="superscript"/>
    </w:rPr>
  </w:style>
  <w:style w:type="character" w:customStyle="1" w:styleId="StopkaZnak">
    <w:name w:val="Stopka Znak"/>
    <w:link w:val="Stopka"/>
    <w:uiPriority w:val="99"/>
    <w:rsid w:val="00CA453C"/>
    <w:rPr>
      <w:sz w:val="24"/>
      <w:szCs w:val="24"/>
    </w:rPr>
  </w:style>
  <w:style w:type="character" w:styleId="Hipercze">
    <w:name w:val="Hyperlink"/>
    <w:rsid w:val="00CE1878"/>
    <w:rPr>
      <w:color w:val="0563C1"/>
      <w:u w:val="single"/>
    </w:rPr>
  </w:style>
  <w:style w:type="character" w:customStyle="1" w:styleId="hgkelc">
    <w:name w:val="hgkelc"/>
    <w:rsid w:val="00C20E43"/>
  </w:style>
  <w:style w:type="character" w:customStyle="1" w:styleId="Domylnaczcionkaakapitu1">
    <w:name w:val="Domyślna czcionka akapitu1"/>
    <w:rsid w:val="001A6E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518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446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4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06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6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0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3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2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772751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67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7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96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719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57097-6B1C-4FBE-8781-E1AF47392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814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subject/>
  <dc:creator>Katarzyna Cal</dc:creator>
  <cp:keywords/>
  <cp:lastModifiedBy>Magdalena Świątek</cp:lastModifiedBy>
  <cp:revision>1</cp:revision>
  <cp:lastPrinted>2023-04-13T09:47:00Z</cp:lastPrinted>
  <dcterms:created xsi:type="dcterms:W3CDTF">2025-04-01T12:56:00Z</dcterms:created>
  <dcterms:modified xsi:type="dcterms:W3CDTF">2025-04-01T12:56:00Z</dcterms:modified>
</cp:coreProperties>
</file>